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46775028"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r w:rsidR="006E00B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714"/>
        <w:gridCol w:w="715"/>
        <w:gridCol w:w="7949"/>
      </w:tblGrid>
      <w:tr w:rsidR="00BC481E" w14:paraId="63D909D0" w14:textId="77777777" w:rsidTr="00E66F77">
        <w:tc>
          <w:tcPr>
            <w:tcW w:w="714" w:type="dxa"/>
          </w:tcPr>
          <w:p w14:paraId="6E953EFB" w14:textId="77777777" w:rsidR="00BC481E" w:rsidRPr="006D3672" w:rsidRDefault="00BC481E" w:rsidP="00F630F5">
            <w:pPr>
              <w:spacing w:after="120"/>
              <w:rPr>
                <w:rFonts w:ascii="Verdana" w:hAnsi="Verdana" w:cs="Courier New"/>
                <w:b/>
                <w:bCs/>
                <w:sz w:val="18"/>
                <w:szCs w:val="20"/>
              </w:rPr>
            </w:pPr>
            <w:r w:rsidRPr="006D3672">
              <w:rPr>
                <w:rFonts w:ascii="Verdana" w:hAnsi="Verdana" w:cs="Courier New"/>
                <w:b/>
                <w:bCs/>
                <w:sz w:val="18"/>
                <w:szCs w:val="20"/>
              </w:rPr>
              <w:t>Page</w:t>
            </w:r>
          </w:p>
        </w:tc>
        <w:tc>
          <w:tcPr>
            <w:tcW w:w="715" w:type="dxa"/>
          </w:tcPr>
          <w:p w14:paraId="6E9E1645" w14:textId="77777777" w:rsidR="00BC481E" w:rsidRPr="006D3672" w:rsidRDefault="00BC481E" w:rsidP="00F630F5">
            <w:pPr>
              <w:spacing w:after="120"/>
              <w:rPr>
                <w:rFonts w:ascii="Verdana" w:hAnsi="Verdana" w:cs="Courier New"/>
                <w:b/>
                <w:bCs/>
                <w:sz w:val="18"/>
                <w:szCs w:val="20"/>
              </w:rPr>
            </w:pPr>
            <w:r w:rsidRPr="006D3672">
              <w:rPr>
                <w:rFonts w:ascii="Verdana" w:hAnsi="Verdana" w:cs="Courier New"/>
                <w:b/>
                <w:bCs/>
                <w:sz w:val="18"/>
                <w:szCs w:val="20"/>
              </w:rPr>
              <w:t>Print</w:t>
            </w:r>
          </w:p>
        </w:tc>
        <w:tc>
          <w:tcPr>
            <w:tcW w:w="7949" w:type="dxa"/>
          </w:tcPr>
          <w:p w14:paraId="41C95545" w14:textId="77777777" w:rsidR="00BC481E" w:rsidRPr="006D3672" w:rsidRDefault="00BC481E" w:rsidP="00F630F5">
            <w:pPr>
              <w:spacing w:after="120"/>
              <w:rPr>
                <w:rFonts w:ascii="Verdana" w:hAnsi="Verdana" w:cs="Courier New"/>
                <w:b/>
                <w:bCs/>
                <w:sz w:val="18"/>
                <w:szCs w:val="20"/>
              </w:rPr>
            </w:pPr>
            <w:r w:rsidRPr="006D3672">
              <w:rPr>
                <w:rFonts w:ascii="Verdana" w:hAnsi="Verdana" w:cs="Courier New"/>
                <w:b/>
                <w:bCs/>
                <w:sz w:val="18"/>
                <w:szCs w:val="20"/>
              </w:rPr>
              <w:t>Correction</w:t>
            </w:r>
          </w:p>
        </w:tc>
      </w:tr>
      <w:tr w:rsidR="00E66F77" w14:paraId="3A466DCD" w14:textId="77777777" w:rsidTr="00E66F77">
        <w:tc>
          <w:tcPr>
            <w:tcW w:w="714" w:type="dxa"/>
          </w:tcPr>
          <w:p w14:paraId="291318FA" w14:textId="1ED06A43" w:rsidR="00E66F77" w:rsidRDefault="00E66F77" w:rsidP="00E66F77">
            <w:pPr>
              <w:spacing w:after="120"/>
              <w:rPr>
                <w:rFonts w:ascii="Verdana" w:hAnsi="Verdana" w:cs="Courier New"/>
                <w:sz w:val="18"/>
                <w:szCs w:val="20"/>
              </w:rPr>
            </w:pPr>
            <w:r>
              <w:rPr>
                <w:rFonts w:ascii="Verdana" w:hAnsi="Verdana" w:cs="Courier New"/>
                <w:sz w:val="18"/>
                <w:szCs w:val="20"/>
              </w:rPr>
              <w:t>108</w:t>
            </w:r>
          </w:p>
        </w:tc>
        <w:tc>
          <w:tcPr>
            <w:tcW w:w="715" w:type="dxa"/>
          </w:tcPr>
          <w:p w14:paraId="5CB1E84A" w14:textId="3C894044" w:rsidR="00E66F77" w:rsidRDefault="00E66F77" w:rsidP="00E66F77">
            <w:pPr>
              <w:spacing w:after="120"/>
              <w:rPr>
                <w:rFonts w:ascii="Verdana" w:hAnsi="Verdana" w:cs="Courier New"/>
                <w:sz w:val="18"/>
                <w:szCs w:val="20"/>
              </w:rPr>
            </w:pPr>
            <w:r>
              <w:rPr>
                <w:rFonts w:ascii="Verdana" w:hAnsi="Verdana" w:cs="Courier New"/>
                <w:sz w:val="18"/>
                <w:szCs w:val="20"/>
              </w:rPr>
              <w:t>9</w:t>
            </w:r>
          </w:p>
        </w:tc>
        <w:tc>
          <w:tcPr>
            <w:tcW w:w="7949" w:type="dxa"/>
          </w:tcPr>
          <w:p w14:paraId="302944F0" w14:textId="787345D2" w:rsidR="00E66F77" w:rsidRDefault="00E66F77"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 stem – 1</w:t>
            </w:r>
            <w:r w:rsidRPr="00C217AC">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change “secure-down” to “secure-shutdown”.</w:t>
            </w:r>
          </w:p>
        </w:tc>
      </w:tr>
      <w:tr w:rsidR="00E37E51" w14:paraId="3F4F4E5A" w14:textId="77777777" w:rsidTr="00E66F77">
        <w:tc>
          <w:tcPr>
            <w:tcW w:w="714" w:type="dxa"/>
          </w:tcPr>
          <w:p w14:paraId="4728200D" w14:textId="0DE5E97D" w:rsidR="00E37E51" w:rsidRDefault="00E37E51"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69625D33" w14:textId="483B2A70" w:rsidR="00E37E51" w:rsidRDefault="00E37E51"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7D9E5C7E" w14:textId="3AD4F002" w:rsidR="00E37E51" w:rsidRDefault="00E37E51" w:rsidP="00E37E51">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E37E5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Example 9-15. An earlier fix was made incorrectly. The incorrect final sentence reads: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 xml:space="preserve">lists an entry for SW1, with </w:t>
            </w:r>
            <w:r w:rsidRPr="00E37E51">
              <w:rPr>
                <w:rFonts w:ascii="Verdana" w:hAnsi="Verdana" w:cs="Arial"/>
                <w:color w:val="222222"/>
                <w:sz w:val="18"/>
                <w:szCs w:val="18"/>
                <w:highlight w:val="yellow"/>
                <w:shd w:val="clear" w:color="auto" w:fill="FFFFFF"/>
              </w:rPr>
              <w:t>G1/0/21</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Gi0/2</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G1/0/24</w:t>
            </w:r>
            <w:r w:rsidRPr="00E37E51">
              <w:rPr>
                <w:rFonts w:ascii="Verdana" w:hAnsi="Verdana" w:cs="Arial"/>
                <w:color w:val="222222"/>
                <w:sz w:val="18"/>
                <w:szCs w:val="18"/>
                <w:shd w:val="clear" w:color="auto" w:fill="FFFFFF"/>
              </w:rPr>
              <w:t xml:space="preserve"> interface of </w:t>
            </w:r>
            <w:r w:rsidRPr="00E37E51">
              <w:rPr>
                <w:rFonts w:ascii="Verdana" w:hAnsi="Verdana" w:cs="Arial"/>
                <w:color w:val="222222"/>
                <w:sz w:val="18"/>
                <w:szCs w:val="18"/>
                <w:highlight w:val="yellow"/>
                <w:shd w:val="clear" w:color="auto" w:fill="FFFFFF"/>
              </w:rPr>
              <w:t>Gi0/1</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 xml:space="preserve">under the heading “Port </w:t>
            </w:r>
            <w:proofErr w:type="gramStart"/>
            <w:r w:rsidRPr="00E37E51">
              <w:rPr>
                <w:rFonts w:ascii="Verdana" w:hAnsi="Verdana" w:cs="Arial"/>
                <w:color w:val="222222"/>
                <w:sz w:val="18"/>
                <w:szCs w:val="18"/>
                <w:shd w:val="clear" w:color="auto" w:fill="FFFFFF"/>
              </w:rPr>
              <w:t>ID .</w:t>
            </w:r>
            <w:proofErr w:type="gramEnd"/>
            <w:r w:rsidRPr="00E37E51">
              <w:rPr>
                <w:rFonts w:ascii="Verdana" w:hAnsi="Verdana" w:cs="Arial"/>
                <w:color w:val="222222"/>
                <w:sz w:val="18"/>
                <w:szCs w:val="18"/>
                <w:shd w:val="clear" w:color="auto" w:fill="FFFFFF"/>
              </w:rPr>
              <w:t>”</w:t>
            </w:r>
            <w:r>
              <w:rPr>
                <w:rFonts w:ascii="Verdana" w:hAnsi="Verdana" w:cs="Arial"/>
                <w:color w:val="222222"/>
                <w:sz w:val="18"/>
                <w:szCs w:val="18"/>
                <w:shd w:val="clear" w:color="auto" w:fill="FFFFFF"/>
              </w:rPr>
              <w:t xml:space="preserve"> Instead, it should read: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 lists an entry for SW1, with </w:t>
            </w:r>
            <w:r w:rsidRPr="00E37E51">
              <w:rPr>
                <w:rFonts w:ascii="Verdana" w:hAnsi="Verdana" w:cs="Arial"/>
                <w:color w:val="222222"/>
                <w:sz w:val="18"/>
                <w:szCs w:val="18"/>
                <w:highlight w:val="yellow"/>
                <w:shd w:val="clear" w:color="auto" w:fill="FFFFFF"/>
              </w:rPr>
              <w:t>SW2’s</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Gi1/0/21</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SW1’s</w:t>
            </w:r>
            <w:r w:rsidRPr="00E37E51">
              <w:rPr>
                <w:rFonts w:ascii="Verdana" w:hAnsi="Verdana" w:cs="Arial"/>
                <w:color w:val="222222"/>
                <w:sz w:val="18"/>
                <w:szCs w:val="18"/>
                <w:shd w:val="clear" w:color="auto" w:fill="FFFFFF"/>
              </w:rPr>
              <w:t xml:space="preserve"> interface of </w:t>
            </w:r>
            <w:r w:rsidRPr="00E37E51">
              <w:rPr>
                <w:rFonts w:ascii="Verdana" w:hAnsi="Verdana" w:cs="Arial"/>
                <w:color w:val="222222"/>
                <w:sz w:val="18"/>
                <w:szCs w:val="18"/>
                <w:highlight w:val="yellow"/>
                <w:shd w:val="clear" w:color="auto" w:fill="FFFFFF"/>
              </w:rPr>
              <w:t>Gi1/0/24</w:t>
            </w:r>
            <w:r w:rsidRPr="00E37E51">
              <w:rPr>
                <w:rFonts w:ascii="Verdana" w:hAnsi="Verdana" w:cs="Arial"/>
                <w:color w:val="222222"/>
                <w:sz w:val="18"/>
                <w:szCs w:val="18"/>
                <w:shd w:val="clear" w:color="auto" w:fill="FFFFFF"/>
              </w:rPr>
              <w:t xml:space="preserve"> under the heading “Port ID.”</w:t>
            </w:r>
          </w:p>
        </w:tc>
      </w:tr>
      <w:tr w:rsidR="00C11C17" w14:paraId="01EB3928" w14:textId="77777777" w:rsidTr="00E66F77">
        <w:tc>
          <w:tcPr>
            <w:tcW w:w="714" w:type="dxa"/>
          </w:tcPr>
          <w:p w14:paraId="715A10A8" w14:textId="34819EFC" w:rsidR="00C11C17" w:rsidRDefault="00C11C17" w:rsidP="00F630F5">
            <w:pPr>
              <w:spacing w:after="120"/>
              <w:rPr>
                <w:rFonts w:ascii="Verdana" w:hAnsi="Verdana" w:cs="Courier New"/>
                <w:sz w:val="18"/>
                <w:szCs w:val="20"/>
              </w:rPr>
            </w:pPr>
            <w:r>
              <w:rPr>
                <w:rFonts w:ascii="Verdana" w:hAnsi="Verdana" w:cs="Courier New"/>
                <w:sz w:val="18"/>
                <w:szCs w:val="20"/>
              </w:rPr>
              <w:t>241</w:t>
            </w:r>
          </w:p>
        </w:tc>
        <w:tc>
          <w:tcPr>
            <w:tcW w:w="715" w:type="dxa"/>
          </w:tcPr>
          <w:p w14:paraId="273DE45C" w14:textId="6BBD0B2D" w:rsidR="00C11C17" w:rsidRDefault="00C11C17"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0C6E637C" w14:textId="29955087" w:rsidR="00C11C17" w:rsidRDefault="00C11C17"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C11C17">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of paragraph just above the bullet list – RFC </w:t>
            </w:r>
            <w:r w:rsidRPr="00C11C17">
              <w:rPr>
                <w:rFonts w:ascii="Verdana" w:hAnsi="Verdana" w:cs="Arial"/>
                <w:color w:val="222222"/>
                <w:sz w:val="18"/>
                <w:szCs w:val="18"/>
                <w:highlight w:val="yellow"/>
                <w:shd w:val="clear" w:color="auto" w:fill="FFFFFF"/>
              </w:rPr>
              <w:t>4954</w:t>
            </w:r>
            <w:r>
              <w:rPr>
                <w:rFonts w:ascii="Verdana" w:hAnsi="Verdana" w:cs="Arial"/>
                <w:color w:val="222222"/>
                <w:sz w:val="18"/>
                <w:szCs w:val="18"/>
                <w:shd w:val="clear" w:color="auto" w:fill="FFFFFF"/>
              </w:rPr>
              <w:t xml:space="preserve"> should be </w:t>
            </w:r>
            <w:r w:rsidRPr="00C11C17">
              <w:rPr>
                <w:rFonts w:ascii="Verdana" w:hAnsi="Verdana" w:cs="Arial"/>
                <w:color w:val="222222"/>
                <w:sz w:val="18"/>
                <w:szCs w:val="18"/>
                <w:highlight w:val="yellow"/>
                <w:shd w:val="clear" w:color="auto" w:fill="FFFFFF"/>
              </w:rPr>
              <w:t>4594</w:t>
            </w:r>
            <w:r>
              <w:rPr>
                <w:rFonts w:ascii="Verdana" w:hAnsi="Verdana" w:cs="Arial"/>
                <w:color w:val="222222"/>
                <w:sz w:val="18"/>
                <w:szCs w:val="18"/>
                <w:shd w:val="clear" w:color="auto" w:fill="FFFFFF"/>
              </w:rPr>
              <w:t>.</w:t>
            </w:r>
          </w:p>
        </w:tc>
      </w:tr>
      <w:tr w:rsidR="00BC481E" w14:paraId="6B21D52A" w14:textId="77777777" w:rsidTr="00E66F77">
        <w:tc>
          <w:tcPr>
            <w:tcW w:w="714" w:type="dxa"/>
          </w:tcPr>
          <w:p w14:paraId="3F03AEE4" w14:textId="77777777" w:rsidR="00BC481E" w:rsidRDefault="00BC481E" w:rsidP="00F630F5">
            <w:pPr>
              <w:spacing w:after="120"/>
              <w:rPr>
                <w:rFonts w:ascii="Verdana" w:hAnsi="Verdana" w:cs="Courier New"/>
                <w:sz w:val="18"/>
                <w:szCs w:val="20"/>
              </w:rPr>
            </w:pPr>
            <w:r>
              <w:rPr>
                <w:rFonts w:ascii="Verdana" w:hAnsi="Verdana" w:cs="Courier New"/>
                <w:sz w:val="18"/>
                <w:szCs w:val="20"/>
              </w:rPr>
              <w:t>180</w:t>
            </w:r>
          </w:p>
        </w:tc>
        <w:tc>
          <w:tcPr>
            <w:tcW w:w="715" w:type="dxa"/>
          </w:tcPr>
          <w:p w14:paraId="0B593739" w14:textId="77777777" w:rsidR="00BC481E" w:rsidRDefault="00BC481E" w:rsidP="00C8575E">
            <w:pPr>
              <w:spacing w:after="120"/>
              <w:rPr>
                <w:rFonts w:ascii="Verdana" w:hAnsi="Verdana" w:cs="Courier New"/>
                <w:sz w:val="18"/>
                <w:szCs w:val="20"/>
              </w:rPr>
            </w:pPr>
            <w:r>
              <w:rPr>
                <w:rFonts w:ascii="Verdana" w:hAnsi="Verdana" w:cs="Courier New"/>
                <w:sz w:val="18"/>
                <w:szCs w:val="20"/>
              </w:rPr>
              <w:t>8</w:t>
            </w:r>
          </w:p>
        </w:tc>
        <w:tc>
          <w:tcPr>
            <w:tcW w:w="7949" w:type="dxa"/>
          </w:tcPr>
          <w:p w14:paraId="78A849BD"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notes the wrong number of messages in Example 9-5. To fix: 2</w:t>
            </w:r>
            <w:r w:rsidRPr="000E1BE0">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-to-last line, strike “...on each of the four OSPF-enabled interfaces”. Last line, strike the ending “...from each of the three OSPF neighbors.” </w:t>
            </w:r>
          </w:p>
        </w:tc>
      </w:tr>
      <w:tr w:rsidR="00BC481E" w14:paraId="59E3E5EF" w14:textId="77777777" w:rsidTr="00E66F77">
        <w:tc>
          <w:tcPr>
            <w:tcW w:w="714" w:type="dxa"/>
          </w:tcPr>
          <w:p w14:paraId="0BFB8FB1" w14:textId="77777777" w:rsidR="00BC481E" w:rsidRDefault="00BC481E" w:rsidP="00F630F5">
            <w:pPr>
              <w:spacing w:after="120"/>
              <w:rPr>
                <w:rFonts w:ascii="Verdana" w:hAnsi="Verdana" w:cs="Courier New"/>
                <w:sz w:val="18"/>
                <w:szCs w:val="20"/>
              </w:rPr>
            </w:pPr>
            <w:r>
              <w:rPr>
                <w:rFonts w:ascii="Verdana" w:hAnsi="Verdana" w:cs="Courier New"/>
                <w:sz w:val="18"/>
                <w:szCs w:val="20"/>
              </w:rPr>
              <w:t>38</w:t>
            </w:r>
          </w:p>
        </w:tc>
        <w:tc>
          <w:tcPr>
            <w:tcW w:w="715" w:type="dxa"/>
          </w:tcPr>
          <w:p w14:paraId="4CC42E46" w14:textId="77777777" w:rsidR="00BC481E" w:rsidRDefault="00BC481E"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D301D61"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EC2FED">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top – </w:t>
            </w:r>
            <w:r w:rsidRPr="00EC2FED">
              <w:rPr>
                <w:rFonts w:ascii="Verdana" w:hAnsi="Verdana" w:cs="Arial"/>
                <w:b/>
                <w:bCs/>
                <w:color w:val="222222"/>
                <w:sz w:val="18"/>
                <w:szCs w:val="18"/>
                <w:shd w:val="clear" w:color="auto" w:fill="FFFFFF"/>
              </w:rPr>
              <w:t>deny all</w:t>
            </w:r>
            <w:r>
              <w:rPr>
                <w:rFonts w:ascii="Verdana" w:hAnsi="Verdana" w:cs="Arial"/>
                <w:color w:val="222222"/>
                <w:sz w:val="18"/>
                <w:szCs w:val="18"/>
                <w:shd w:val="clear" w:color="auto" w:fill="FFFFFF"/>
              </w:rPr>
              <w:t xml:space="preserve"> should be </w:t>
            </w:r>
            <w:r w:rsidRPr="00EC2FED">
              <w:rPr>
                <w:rFonts w:ascii="Verdana" w:hAnsi="Verdana" w:cs="Arial"/>
                <w:b/>
                <w:bCs/>
                <w:color w:val="222222"/>
                <w:sz w:val="18"/>
                <w:szCs w:val="18"/>
                <w:shd w:val="clear" w:color="auto" w:fill="FFFFFF"/>
              </w:rPr>
              <w:t>deny any</w:t>
            </w:r>
            <w:r>
              <w:rPr>
                <w:rFonts w:ascii="Verdana" w:hAnsi="Verdana" w:cs="Arial"/>
                <w:color w:val="222222"/>
                <w:sz w:val="18"/>
                <w:szCs w:val="18"/>
                <w:shd w:val="clear" w:color="auto" w:fill="FFFFFF"/>
              </w:rPr>
              <w:t xml:space="preserve"> to be syntactically correct.</w:t>
            </w:r>
          </w:p>
        </w:tc>
      </w:tr>
      <w:tr w:rsidR="00BC481E" w14:paraId="045F1AC6" w14:textId="77777777" w:rsidTr="00E66F77">
        <w:tc>
          <w:tcPr>
            <w:tcW w:w="714" w:type="dxa"/>
          </w:tcPr>
          <w:p w14:paraId="16F8D78C" w14:textId="4AAB82B9" w:rsidR="00BC481E" w:rsidRDefault="00BC481E" w:rsidP="00F630F5">
            <w:pPr>
              <w:spacing w:after="120"/>
              <w:rPr>
                <w:rFonts w:ascii="Verdana" w:hAnsi="Verdana" w:cs="Courier New"/>
                <w:sz w:val="18"/>
                <w:szCs w:val="20"/>
              </w:rPr>
            </w:pPr>
            <w:r>
              <w:rPr>
                <w:rFonts w:ascii="Verdana" w:hAnsi="Verdana" w:cs="Courier New"/>
                <w:sz w:val="18"/>
                <w:szCs w:val="20"/>
              </w:rPr>
              <w:t>77</w:t>
            </w:r>
          </w:p>
        </w:tc>
        <w:tc>
          <w:tcPr>
            <w:tcW w:w="715" w:type="dxa"/>
          </w:tcPr>
          <w:p w14:paraId="6371C18A" w14:textId="77777777" w:rsidR="00BC481E" w:rsidRDefault="00BC481E"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1E1AC75E"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4-2 – row that begins with text “Exhaust a system...” – columns for “Reflection” and “Amplification” – change “No” to “Yes”.</w:t>
            </w:r>
          </w:p>
        </w:tc>
      </w:tr>
      <w:tr w:rsidR="00BC481E" w14:paraId="76C58194" w14:textId="77777777" w:rsidTr="00E66F77">
        <w:tc>
          <w:tcPr>
            <w:tcW w:w="714" w:type="dxa"/>
          </w:tcPr>
          <w:p w14:paraId="4F92C531" w14:textId="77777777" w:rsidR="00BC481E" w:rsidRDefault="00BC481E" w:rsidP="00F630F5">
            <w:pPr>
              <w:spacing w:after="120"/>
              <w:rPr>
                <w:rFonts w:ascii="Verdana" w:hAnsi="Verdana" w:cs="Courier New"/>
                <w:sz w:val="18"/>
                <w:szCs w:val="20"/>
              </w:rPr>
            </w:pPr>
            <w:r>
              <w:rPr>
                <w:rFonts w:ascii="Verdana" w:hAnsi="Verdana" w:cs="Courier New"/>
                <w:sz w:val="18"/>
                <w:szCs w:val="20"/>
              </w:rPr>
              <w:t>76</w:t>
            </w:r>
          </w:p>
        </w:tc>
        <w:tc>
          <w:tcPr>
            <w:tcW w:w="715" w:type="dxa"/>
          </w:tcPr>
          <w:p w14:paraId="4CA3C988"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277535A"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Figure 4-7 – Box below circled “3” – change </w:t>
            </w:r>
            <w:r w:rsidRPr="008C4DBB">
              <w:rPr>
                <w:rFonts w:ascii="Verdana" w:hAnsi="Verdana" w:cs="Arial"/>
                <w:b/>
                <w:bCs/>
                <w:color w:val="222222"/>
                <w:sz w:val="18"/>
                <w:szCs w:val="18"/>
                <w:shd w:val="clear" w:color="auto" w:fill="FFFFFF"/>
              </w:rPr>
              <w:t>192.168.100.10</w:t>
            </w:r>
            <w:r>
              <w:rPr>
                <w:rFonts w:ascii="Verdana" w:hAnsi="Verdana" w:cs="Arial"/>
                <w:color w:val="222222"/>
                <w:sz w:val="18"/>
                <w:szCs w:val="18"/>
                <w:shd w:val="clear" w:color="auto" w:fill="FFFFFF"/>
              </w:rPr>
              <w:t xml:space="preserve"> to </w:t>
            </w:r>
            <w:r w:rsidRPr="008C4DBB">
              <w:rPr>
                <w:rFonts w:ascii="Verdana" w:hAnsi="Verdana" w:cs="Arial"/>
                <w:b/>
                <w:bCs/>
                <w:color w:val="222222"/>
                <w:sz w:val="18"/>
                <w:szCs w:val="18"/>
                <w:shd w:val="clear" w:color="auto" w:fill="FFFFFF"/>
              </w:rPr>
              <w:t>198.51.100.10</w:t>
            </w:r>
            <w:r>
              <w:rPr>
                <w:rFonts w:ascii="Verdana" w:hAnsi="Verdana" w:cs="Arial"/>
                <w:color w:val="222222"/>
                <w:sz w:val="18"/>
                <w:szCs w:val="18"/>
                <w:shd w:val="clear" w:color="auto" w:fill="FFFFFF"/>
              </w:rPr>
              <w:t>.</w:t>
            </w:r>
          </w:p>
        </w:tc>
      </w:tr>
      <w:tr w:rsidR="00BC481E" w14:paraId="409F589F" w14:textId="77777777" w:rsidTr="00E66F77">
        <w:tc>
          <w:tcPr>
            <w:tcW w:w="714" w:type="dxa"/>
          </w:tcPr>
          <w:p w14:paraId="1208FB76" w14:textId="77777777" w:rsidR="00BC481E" w:rsidRDefault="00BC481E"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7DA39888"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081FA23B"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BC481E" w14:paraId="2EA57768" w14:textId="77777777" w:rsidTr="00E66F77">
        <w:tc>
          <w:tcPr>
            <w:tcW w:w="714" w:type="dxa"/>
          </w:tcPr>
          <w:p w14:paraId="3C17A587" w14:textId="77777777" w:rsidR="00BC481E" w:rsidRDefault="00BC481E" w:rsidP="00F630F5">
            <w:pPr>
              <w:spacing w:after="120"/>
              <w:rPr>
                <w:rFonts w:ascii="Verdana" w:hAnsi="Verdana" w:cs="Courier New"/>
                <w:sz w:val="18"/>
                <w:szCs w:val="20"/>
              </w:rPr>
            </w:pPr>
            <w:r>
              <w:rPr>
                <w:rFonts w:ascii="Verdana" w:hAnsi="Verdana" w:cs="Courier New"/>
                <w:sz w:val="18"/>
                <w:szCs w:val="20"/>
              </w:rPr>
              <w:lastRenderedPageBreak/>
              <w:t>106</w:t>
            </w:r>
          </w:p>
        </w:tc>
        <w:tc>
          <w:tcPr>
            <w:tcW w:w="715" w:type="dxa"/>
          </w:tcPr>
          <w:p w14:paraId="7235F6BE"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B47DAE6"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BC481E" w14:paraId="4CD0F47A" w14:textId="77777777" w:rsidTr="00E66F77">
        <w:tc>
          <w:tcPr>
            <w:tcW w:w="714" w:type="dxa"/>
          </w:tcPr>
          <w:p w14:paraId="1CE2A00F" w14:textId="77777777" w:rsidR="00BC481E" w:rsidRDefault="00BC481E" w:rsidP="00F630F5">
            <w:pPr>
              <w:spacing w:after="120"/>
              <w:rPr>
                <w:rFonts w:ascii="Verdana" w:hAnsi="Verdana" w:cs="Courier New"/>
                <w:sz w:val="18"/>
                <w:szCs w:val="20"/>
              </w:rPr>
            </w:pPr>
            <w:r>
              <w:rPr>
                <w:rFonts w:ascii="Verdana" w:hAnsi="Verdana" w:cs="Courier New"/>
                <w:sz w:val="18"/>
                <w:szCs w:val="20"/>
              </w:rPr>
              <w:t>108</w:t>
            </w:r>
          </w:p>
        </w:tc>
        <w:tc>
          <w:tcPr>
            <w:tcW w:w="715" w:type="dxa"/>
          </w:tcPr>
          <w:p w14:paraId="3D2319AB"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069C9422" w14:textId="7A835AEC" w:rsidR="00BC481E" w:rsidRDefault="00BC481E" w:rsidP="008602E0">
            <w:r>
              <w:rPr>
                <w:rFonts w:ascii="Verdana" w:hAnsi="Verdana" w:cs="Arial"/>
                <w:color w:val="222222"/>
                <w:sz w:val="18"/>
                <w:szCs w:val="18"/>
                <w:shd w:val="clear" w:color="auto" w:fill="FFFFFF"/>
              </w:rPr>
              <w:t xml:space="preserve">DIKTA Question 4, answer D, replace with: “The </w:t>
            </w:r>
            <w:r w:rsidRPr="008602E0">
              <w:rPr>
                <w:rFonts w:ascii="Verdana" w:hAnsi="Verdana" w:cs="Arial"/>
                <w:b/>
                <w:bCs/>
                <w:color w:val="222222"/>
                <w:sz w:val="18"/>
                <w:szCs w:val="18"/>
                <w:shd w:val="clear" w:color="auto" w:fill="FFFFFF"/>
              </w:rPr>
              <w:t>show port-security interface</w:t>
            </w:r>
            <w:r>
              <w:rPr>
                <w:rFonts w:ascii="Verdana" w:hAnsi="Verdana" w:cs="Arial"/>
                <w:color w:val="222222"/>
                <w:sz w:val="18"/>
                <w:szCs w:val="18"/>
                <w:shd w:val="clear" w:color="auto" w:fill="FFFFFF"/>
              </w:rPr>
              <w:t xml:space="preserve"> </w:t>
            </w:r>
            <w:r w:rsidRPr="008602E0">
              <w:rPr>
                <w:rFonts w:ascii="Verdana" w:hAnsi="Verdana" w:cs="Arial"/>
                <w:color w:val="222222"/>
                <w:sz w:val="18"/>
                <w:szCs w:val="18"/>
                <w:shd w:val="clear" w:color="auto" w:fill="FFFFFF"/>
              </w:rPr>
              <w:t xml:space="preserve">command </w:t>
            </w:r>
            <w:r w:rsidRPr="008602E0">
              <w:rPr>
                <w:rFonts w:ascii="Verdana" w:hAnsi="Verdana" w:cs="Arial"/>
                <w:color w:val="222222"/>
                <w:sz w:val="18"/>
                <w:szCs w:val="18"/>
                <w:highlight w:val="yellow"/>
                <w:shd w:val="clear" w:color="auto" w:fill="FFFFFF"/>
              </w:rPr>
              <w:t xml:space="preserve">violation counter </w:t>
            </w:r>
            <w:r w:rsidRPr="008602E0">
              <w:rPr>
                <w:rFonts w:ascii="Verdana" w:hAnsi="Verdana"/>
                <w:color w:val="000000"/>
                <w:sz w:val="18"/>
                <w:szCs w:val="18"/>
                <w:highlight w:val="yellow"/>
              </w:rPr>
              <w:t>can increase while in the secure-</w:t>
            </w:r>
            <w:r w:rsidR="00C20666">
              <w:rPr>
                <w:rFonts w:ascii="Verdana" w:hAnsi="Verdana"/>
                <w:color w:val="000000"/>
                <w:sz w:val="18"/>
                <w:szCs w:val="18"/>
                <w:highlight w:val="yellow"/>
              </w:rPr>
              <w:t>shut</w:t>
            </w:r>
            <w:r w:rsidRPr="008602E0">
              <w:rPr>
                <w:rFonts w:ascii="Verdana" w:hAnsi="Verdana"/>
                <w:color w:val="000000"/>
                <w:sz w:val="18"/>
                <w:szCs w:val="18"/>
                <w:highlight w:val="yellow"/>
              </w:rPr>
              <w:t>down port state</w:t>
            </w:r>
            <w:r w:rsidRPr="008602E0">
              <w:rPr>
                <w:rFonts w:ascii="Verdana" w:hAnsi="Verdana"/>
                <w:color w:val="000000"/>
                <w:sz w:val="18"/>
                <w:szCs w:val="18"/>
              </w:rPr>
              <w:t>.</w:t>
            </w:r>
            <w:r>
              <w:rPr>
                <w:rFonts w:ascii="Verdana" w:hAnsi="Verdana"/>
                <w:color w:val="000000"/>
                <w:sz w:val="18"/>
                <w:szCs w:val="18"/>
              </w:rPr>
              <w:t>”</w:t>
            </w:r>
          </w:p>
          <w:p w14:paraId="3FEB9C1E" w14:textId="77777777" w:rsidR="00BC481E" w:rsidRDefault="00BC481E" w:rsidP="00A53AD3">
            <w:pPr>
              <w:spacing w:after="120"/>
              <w:rPr>
                <w:rFonts w:ascii="Verdana" w:hAnsi="Verdana" w:cs="Arial"/>
                <w:color w:val="222222"/>
                <w:sz w:val="18"/>
                <w:szCs w:val="18"/>
                <w:shd w:val="clear" w:color="auto" w:fill="FFFFFF"/>
              </w:rPr>
            </w:pPr>
          </w:p>
        </w:tc>
      </w:tr>
      <w:tr w:rsidR="00BC481E" w14:paraId="7FAAA8EC" w14:textId="77777777" w:rsidTr="00E66F77">
        <w:tc>
          <w:tcPr>
            <w:tcW w:w="714" w:type="dxa"/>
          </w:tcPr>
          <w:p w14:paraId="073FD466" w14:textId="77777777" w:rsidR="00BC481E" w:rsidRDefault="00BC481E"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36C40BFF"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A0CFF4B"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BC481E" w14:paraId="69BAD70C" w14:textId="77777777" w:rsidTr="00E66F77">
        <w:tc>
          <w:tcPr>
            <w:tcW w:w="714" w:type="dxa"/>
          </w:tcPr>
          <w:p w14:paraId="511F6D47" w14:textId="77777777" w:rsidR="00BC481E" w:rsidRDefault="00BC481E"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3DB02D43"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AC52F78"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6-6 – 3rd line – </w:t>
            </w:r>
            <w:proofErr w:type="gramStart"/>
            <w:r>
              <w:rPr>
                <w:rFonts w:ascii="Verdana" w:hAnsi="Verdana" w:cs="Arial"/>
                <w:color w:val="222222"/>
                <w:sz w:val="18"/>
                <w:szCs w:val="18"/>
                <w:shd w:val="clear" w:color="auto" w:fill="FFFFFF"/>
              </w:rPr>
              <w:t>replace”d48c.b</w:t>
            </w:r>
            <w:proofErr w:type="gramEnd"/>
            <w:r>
              <w:rPr>
                <w:rFonts w:ascii="Verdana" w:hAnsi="Verdana" w:cs="Arial"/>
                <w:color w:val="222222"/>
                <w:sz w:val="18"/>
                <w:szCs w:val="18"/>
                <w:shd w:val="clear" w:color="auto" w:fill="FFFFFF"/>
              </w:rPr>
              <w:t>57d.8200” with “0200.3333.3333”.</w:t>
            </w:r>
          </w:p>
        </w:tc>
      </w:tr>
      <w:tr w:rsidR="00BC481E" w14:paraId="510D8CB6" w14:textId="77777777" w:rsidTr="00E66F77">
        <w:tc>
          <w:tcPr>
            <w:tcW w:w="714" w:type="dxa"/>
          </w:tcPr>
          <w:p w14:paraId="3FD8DA00" w14:textId="77777777" w:rsidR="00BC481E" w:rsidRDefault="00BC481E"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7D300864"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6BECEBA"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BC481E" w14:paraId="4C1B5923" w14:textId="77777777" w:rsidTr="00E66F77">
        <w:tc>
          <w:tcPr>
            <w:tcW w:w="714" w:type="dxa"/>
          </w:tcPr>
          <w:p w14:paraId="0FDC057A" w14:textId="77777777" w:rsidR="00BC481E" w:rsidRDefault="00BC481E" w:rsidP="00F630F5">
            <w:pPr>
              <w:spacing w:after="120"/>
              <w:rPr>
                <w:rFonts w:ascii="Verdana" w:hAnsi="Verdana" w:cs="Courier New"/>
                <w:sz w:val="18"/>
                <w:szCs w:val="20"/>
              </w:rPr>
            </w:pPr>
            <w:r>
              <w:rPr>
                <w:rFonts w:ascii="Verdana" w:hAnsi="Verdana" w:cs="Courier New"/>
                <w:sz w:val="18"/>
                <w:szCs w:val="20"/>
              </w:rPr>
              <w:t>157</w:t>
            </w:r>
          </w:p>
        </w:tc>
        <w:tc>
          <w:tcPr>
            <w:tcW w:w="715" w:type="dxa"/>
          </w:tcPr>
          <w:p w14:paraId="06CAC741"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C4AC95A"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BC481E" w14:paraId="7E033CBC" w14:textId="77777777" w:rsidTr="00E66F77">
        <w:tc>
          <w:tcPr>
            <w:tcW w:w="714" w:type="dxa"/>
          </w:tcPr>
          <w:p w14:paraId="50376C94" w14:textId="77777777" w:rsidR="00BC481E" w:rsidRDefault="00BC481E"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794D53F0"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69A06CA"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BC481E" w14:paraId="1B0C07D6" w14:textId="77777777" w:rsidTr="00E66F77">
        <w:tc>
          <w:tcPr>
            <w:tcW w:w="714" w:type="dxa"/>
          </w:tcPr>
          <w:p w14:paraId="5D3DF1D4" w14:textId="77777777" w:rsidR="00BC481E" w:rsidRDefault="00BC481E"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2C7343D5"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CFE18D8"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BC481E" w14:paraId="3D6B7235" w14:textId="77777777" w:rsidTr="00E66F77">
        <w:tc>
          <w:tcPr>
            <w:tcW w:w="714" w:type="dxa"/>
          </w:tcPr>
          <w:p w14:paraId="37956FC3" w14:textId="77777777" w:rsidR="00BC481E" w:rsidRDefault="00BC481E"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7AED6F91"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01DE04D1"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BC481E" w14:paraId="4D6B15CC" w14:textId="77777777" w:rsidTr="00E66F77">
        <w:tc>
          <w:tcPr>
            <w:tcW w:w="714" w:type="dxa"/>
          </w:tcPr>
          <w:p w14:paraId="5E094282" w14:textId="77777777" w:rsidR="00BC481E" w:rsidRDefault="00BC481E"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24494B3F"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AD87772"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 – a topic that does provide the necessary detail. Note that we will replace the question in future printings, and have already replaced it in the online PTP QA app.</w:t>
            </w:r>
          </w:p>
        </w:tc>
      </w:tr>
      <w:tr w:rsidR="00BC481E" w14:paraId="61EC491A" w14:textId="77777777" w:rsidTr="00E66F77">
        <w:tc>
          <w:tcPr>
            <w:tcW w:w="714" w:type="dxa"/>
          </w:tcPr>
          <w:p w14:paraId="20301498" w14:textId="77777777" w:rsidR="00BC481E" w:rsidRDefault="00BC481E" w:rsidP="00344B23">
            <w:pPr>
              <w:spacing w:after="120"/>
              <w:rPr>
                <w:rFonts w:ascii="Verdana" w:hAnsi="Verdana" w:cs="Courier New"/>
                <w:sz w:val="18"/>
                <w:szCs w:val="20"/>
              </w:rPr>
            </w:pPr>
            <w:r>
              <w:rPr>
                <w:rFonts w:ascii="Verdana" w:hAnsi="Verdana" w:cs="Courier New"/>
                <w:sz w:val="18"/>
                <w:szCs w:val="20"/>
              </w:rPr>
              <w:t>357</w:t>
            </w:r>
          </w:p>
        </w:tc>
        <w:tc>
          <w:tcPr>
            <w:tcW w:w="715" w:type="dxa"/>
          </w:tcPr>
          <w:p w14:paraId="6F92CAC1" w14:textId="77777777" w:rsidR="00BC481E" w:rsidRDefault="00BC481E" w:rsidP="00344B23">
            <w:pPr>
              <w:spacing w:after="120"/>
              <w:rPr>
                <w:rFonts w:ascii="Verdana" w:hAnsi="Verdana" w:cs="Courier New"/>
                <w:sz w:val="18"/>
                <w:szCs w:val="20"/>
              </w:rPr>
            </w:pPr>
            <w:r>
              <w:rPr>
                <w:rFonts w:ascii="Verdana" w:hAnsi="Verdana" w:cs="Courier New"/>
                <w:sz w:val="18"/>
                <w:szCs w:val="20"/>
              </w:rPr>
              <w:t>2</w:t>
            </w:r>
          </w:p>
        </w:tc>
        <w:tc>
          <w:tcPr>
            <w:tcW w:w="7949" w:type="dxa"/>
          </w:tcPr>
          <w:p w14:paraId="6D794F83" w14:textId="77777777" w:rsidR="00BC481E" w:rsidRDefault="00BC481E"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BC481E" w14:paraId="288C4812" w14:textId="77777777" w:rsidTr="00E66F77">
        <w:tc>
          <w:tcPr>
            <w:tcW w:w="714" w:type="dxa"/>
          </w:tcPr>
          <w:p w14:paraId="40BD55AB" w14:textId="77777777" w:rsidR="00BC481E" w:rsidRDefault="00BC481E"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3A8C5830"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52005D3"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BC481E" w14:paraId="6D3E048D" w14:textId="77777777" w:rsidTr="00E66F77">
        <w:tc>
          <w:tcPr>
            <w:tcW w:w="714" w:type="dxa"/>
          </w:tcPr>
          <w:p w14:paraId="28B59AE7" w14:textId="77777777" w:rsidR="00BC481E" w:rsidRDefault="00BC481E" w:rsidP="00F630F5">
            <w:pPr>
              <w:spacing w:after="120"/>
              <w:rPr>
                <w:rFonts w:ascii="Verdana" w:hAnsi="Verdana" w:cs="Courier New"/>
                <w:sz w:val="18"/>
                <w:szCs w:val="20"/>
              </w:rPr>
            </w:pPr>
            <w:r>
              <w:rPr>
                <w:rFonts w:ascii="Verdana" w:hAnsi="Verdana" w:cs="Courier New"/>
                <w:sz w:val="18"/>
                <w:szCs w:val="20"/>
              </w:rPr>
              <w:t>482</w:t>
            </w:r>
          </w:p>
        </w:tc>
        <w:tc>
          <w:tcPr>
            <w:tcW w:w="715" w:type="dxa"/>
          </w:tcPr>
          <w:p w14:paraId="5A046AE1"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76852735"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6, Question 4 – delete from “and it resets to 0...” to the end of the sentence.</w:t>
            </w:r>
          </w:p>
        </w:tc>
      </w:tr>
      <w:tr w:rsidR="00BC481E" w14:paraId="3A798845" w14:textId="77777777" w:rsidTr="00E66F77">
        <w:tc>
          <w:tcPr>
            <w:tcW w:w="714" w:type="dxa"/>
          </w:tcPr>
          <w:p w14:paraId="7F418F6D" w14:textId="77777777" w:rsidR="00BC481E" w:rsidRDefault="00BC481E"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112852B2"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2F92126"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w:t>
            </w:r>
            <w:proofErr w:type="gramStart"/>
            <w:r>
              <w:rPr>
                <w:rFonts w:ascii="Verdana" w:hAnsi="Verdana" w:cs="Arial"/>
                <w:color w:val="222222"/>
                <w:sz w:val="18"/>
                <w:szCs w:val="18"/>
                <w:shd w:val="clear" w:color="auto" w:fill="FFFFFF"/>
              </w:rPr>
              <w:t>neighbors</w:t>
            </w:r>
            <w:proofErr w:type="gramEnd"/>
            <w:r>
              <w:rPr>
                <w:rFonts w:ascii="Verdana" w:hAnsi="Verdana" w:cs="Arial"/>
                <w:color w:val="222222"/>
                <w:sz w:val="18"/>
                <w:szCs w:val="18"/>
                <w:shd w:val="clear" w:color="auto" w:fill="FFFFFF"/>
              </w:rPr>
              <w:t xml:space="preserve">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BC481E" w14:paraId="01830BA4" w14:textId="77777777" w:rsidTr="00E66F77">
        <w:tc>
          <w:tcPr>
            <w:tcW w:w="714" w:type="dxa"/>
          </w:tcPr>
          <w:p w14:paraId="636D9442" w14:textId="77777777" w:rsidR="00BC481E" w:rsidRDefault="00BC481E"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7DDD95F8" w14:textId="77777777" w:rsidR="00BC481E" w:rsidRDefault="00BC481E"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8CF3DCF" w14:textId="77777777" w:rsidR="00BC481E" w:rsidRDefault="00BC481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FE81" w14:textId="77777777" w:rsidR="00A118E3" w:rsidRDefault="00A118E3">
      <w:r>
        <w:separator/>
      </w:r>
    </w:p>
  </w:endnote>
  <w:endnote w:type="continuationSeparator" w:id="0">
    <w:p w14:paraId="35503DC0" w14:textId="77777777" w:rsidR="00A118E3" w:rsidRDefault="00A1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1B41E41D" w:rsidR="00C96F1F" w:rsidRDefault="00D01EDD" w:rsidP="00EF59D9">
    <w:pPr>
      <w:pStyle w:val="Footer"/>
      <w:jc w:val="center"/>
    </w:pPr>
    <w:r>
      <w:t xml:space="preserve">Last Update: </w:t>
    </w:r>
    <w:r w:rsidR="00D76921">
      <w:t>Sept. 9</w:t>
    </w:r>
    <w:r w:rsidR="00D76921" w:rsidRPr="00D76921">
      <w:rPr>
        <w:vertAlign w:val="superscript"/>
      </w:rPr>
      <w:t>th</w:t>
    </w:r>
    <w:r w:rsidR="00D76921">
      <w:t xml:space="preserve">, </w:t>
    </w:r>
    <w:r w:rsidR="008D7FCE">
      <w:t>202</w:t>
    </w:r>
    <w:r w:rsidR="00253AC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8FA2" w14:textId="77777777" w:rsidR="00A118E3" w:rsidRDefault="00A118E3">
      <w:r>
        <w:separator/>
      </w:r>
    </w:p>
  </w:footnote>
  <w:footnote w:type="continuationSeparator" w:id="0">
    <w:p w14:paraId="6AFA5B05" w14:textId="77777777" w:rsidR="00A118E3" w:rsidRDefault="00A1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711128">
    <w:abstractNumId w:val="0"/>
  </w:num>
  <w:num w:numId="2" w16cid:durableId="1264268824">
    <w:abstractNumId w:val="12"/>
  </w:num>
  <w:num w:numId="3" w16cid:durableId="1391734202">
    <w:abstractNumId w:val="11"/>
  </w:num>
  <w:num w:numId="4" w16cid:durableId="530266967">
    <w:abstractNumId w:val="1"/>
  </w:num>
  <w:num w:numId="5" w16cid:durableId="1796102541">
    <w:abstractNumId w:val="2"/>
  </w:num>
  <w:num w:numId="6" w16cid:durableId="607547893">
    <w:abstractNumId w:val="3"/>
  </w:num>
  <w:num w:numId="7" w16cid:durableId="663628665">
    <w:abstractNumId w:val="4"/>
  </w:num>
  <w:num w:numId="8" w16cid:durableId="1103721314">
    <w:abstractNumId w:val="9"/>
  </w:num>
  <w:num w:numId="9" w16cid:durableId="435829690">
    <w:abstractNumId w:val="5"/>
  </w:num>
  <w:num w:numId="10" w16cid:durableId="1407922976">
    <w:abstractNumId w:val="6"/>
  </w:num>
  <w:num w:numId="11" w16cid:durableId="703750784">
    <w:abstractNumId w:val="7"/>
  </w:num>
  <w:num w:numId="12" w16cid:durableId="1916041307">
    <w:abstractNumId w:val="8"/>
  </w:num>
  <w:num w:numId="13" w16cid:durableId="452140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392"/>
    <w:rsid w:val="000005F7"/>
    <w:rsid w:val="00006D11"/>
    <w:rsid w:val="00012C1F"/>
    <w:rsid w:val="00021201"/>
    <w:rsid w:val="000218E9"/>
    <w:rsid w:val="00021B64"/>
    <w:rsid w:val="00023B21"/>
    <w:rsid w:val="000301C6"/>
    <w:rsid w:val="00032D7A"/>
    <w:rsid w:val="00043DD4"/>
    <w:rsid w:val="00050854"/>
    <w:rsid w:val="00060628"/>
    <w:rsid w:val="0006409B"/>
    <w:rsid w:val="00066094"/>
    <w:rsid w:val="00073CB0"/>
    <w:rsid w:val="000801FD"/>
    <w:rsid w:val="00083EB6"/>
    <w:rsid w:val="0008554E"/>
    <w:rsid w:val="00087B53"/>
    <w:rsid w:val="00090F7B"/>
    <w:rsid w:val="000A4937"/>
    <w:rsid w:val="000B0228"/>
    <w:rsid w:val="000B177E"/>
    <w:rsid w:val="000B77C1"/>
    <w:rsid w:val="000C25AD"/>
    <w:rsid w:val="000D5D2B"/>
    <w:rsid w:val="000E0B3E"/>
    <w:rsid w:val="000E1814"/>
    <w:rsid w:val="000E1BE0"/>
    <w:rsid w:val="000F17D3"/>
    <w:rsid w:val="000F2A4A"/>
    <w:rsid w:val="000F3776"/>
    <w:rsid w:val="00101C6D"/>
    <w:rsid w:val="00103FCE"/>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107E"/>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07A4"/>
    <w:rsid w:val="002125EC"/>
    <w:rsid w:val="002148E8"/>
    <w:rsid w:val="002236AC"/>
    <w:rsid w:val="00225945"/>
    <w:rsid w:val="00231E38"/>
    <w:rsid w:val="002320B5"/>
    <w:rsid w:val="002330C3"/>
    <w:rsid w:val="00234CAE"/>
    <w:rsid w:val="002353A9"/>
    <w:rsid w:val="002417A8"/>
    <w:rsid w:val="00247167"/>
    <w:rsid w:val="00253AC8"/>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0406"/>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56EE9"/>
    <w:rsid w:val="00467828"/>
    <w:rsid w:val="0047421A"/>
    <w:rsid w:val="0047629E"/>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11333"/>
    <w:rsid w:val="00513746"/>
    <w:rsid w:val="00520DB9"/>
    <w:rsid w:val="0052144E"/>
    <w:rsid w:val="0053245A"/>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1980"/>
    <w:rsid w:val="006B38C9"/>
    <w:rsid w:val="006C6B79"/>
    <w:rsid w:val="006D11EE"/>
    <w:rsid w:val="006D198F"/>
    <w:rsid w:val="006D365F"/>
    <w:rsid w:val="006D3672"/>
    <w:rsid w:val="006D55A1"/>
    <w:rsid w:val="006D6A37"/>
    <w:rsid w:val="006D76C4"/>
    <w:rsid w:val="006E00B8"/>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37BB1"/>
    <w:rsid w:val="00740281"/>
    <w:rsid w:val="0075382D"/>
    <w:rsid w:val="007539FC"/>
    <w:rsid w:val="00761217"/>
    <w:rsid w:val="007620DA"/>
    <w:rsid w:val="00765522"/>
    <w:rsid w:val="00771182"/>
    <w:rsid w:val="0077316E"/>
    <w:rsid w:val="007731C7"/>
    <w:rsid w:val="00773AA0"/>
    <w:rsid w:val="00776BCD"/>
    <w:rsid w:val="00780B1D"/>
    <w:rsid w:val="0078201B"/>
    <w:rsid w:val="00784B19"/>
    <w:rsid w:val="007877CD"/>
    <w:rsid w:val="00790DB7"/>
    <w:rsid w:val="0079341B"/>
    <w:rsid w:val="007975E7"/>
    <w:rsid w:val="00797742"/>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02E0"/>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12E2"/>
    <w:rsid w:val="008B22F1"/>
    <w:rsid w:val="008B2E4F"/>
    <w:rsid w:val="008C0621"/>
    <w:rsid w:val="008C2633"/>
    <w:rsid w:val="008C42B6"/>
    <w:rsid w:val="008C4DBB"/>
    <w:rsid w:val="008D0EE2"/>
    <w:rsid w:val="008D4E31"/>
    <w:rsid w:val="008D7132"/>
    <w:rsid w:val="008D7FCE"/>
    <w:rsid w:val="008E436D"/>
    <w:rsid w:val="008E5C2F"/>
    <w:rsid w:val="008E640A"/>
    <w:rsid w:val="008E722E"/>
    <w:rsid w:val="008F29DC"/>
    <w:rsid w:val="009036EF"/>
    <w:rsid w:val="00905ADB"/>
    <w:rsid w:val="009101BB"/>
    <w:rsid w:val="00910466"/>
    <w:rsid w:val="00914349"/>
    <w:rsid w:val="00915C26"/>
    <w:rsid w:val="00916A20"/>
    <w:rsid w:val="00920BE4"/>
    <w:rsid w:val="00926722"/>
    <w:rsid w:val="00930004"/>
    <w:rsid w:val="00935BF7"/>
    <w:rsid w:val="009544FD"/>
    <w:rsid w:val="00955F13"/>
    <w:rsid w:val="00963239"/>
    <w:rsid w:val="00963444"/>
    <w:rsid w:val="00963906"/>
    <w:rsid w:val="0096399F"/>
    <w:rsid w:val="009748B6"/>
    <w:rsid w:val="0097618E"/>
    <w:rsid w:val="0097693B"/>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ECD"/>
    <w:rsid w:val="009C67FE"/>
    <w:rsid w:val="009C7CD7"/>
    <w:rsid w:val="009D17A3"/>
    <w:rsid w:val="009D1E2E"/>
    <w:rsid w:val="009E029A"/>
    <w:rsid w:val="009E6D5D"/>
    <w:rsid w:val="009F3172"/>
    <w:rsid w:val="009F4ABA"/>
    <w:rsid w:val="00A0495A"/>
    <w:rsid w:val="00A065F0"/>
    <w:rsid w:val="00A118E3"/>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5EF8"/>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70C"/>
    <w:rsid w:val="00B35A45"/>
    <w:rsid w:val="00B36166"/>
    <w:rsid w:val="00B369CD"/>
    <w:rsid w:val="00B3742A"/>
    <w:rsid w:val="00B37872"/>
    <w:rsid w:val="00B5187B"/>
    <w:rsid w:val="00B5285B"/>
    <w:rsid w:val="00B61CD4"/>
    <w:rsid w:val="00B625A4"/>
    <w:rsid w:val="00B70947"/>
    <w:rsid w:val="00B7255A"/>
    <w:rsid w:val="00B93123"/>
    <w:rsid w:val="00B94043"/>
    <w:rsid w:val="00BA032B"/>
    <w:rsid w:val="00BA48C2"/>
    <w:rsid w:val="00BC0C85"/>
    <w:rsid w:val="00BC473B"/>
    <w:rsid w:val="00BC481E"/>
    <w:rsid w:val="00BC7503"/>
    <w:rsid w:val="00BE09A5"/>
    <w:rsid w:val="00BE4924"/>
    <w:rsid w:val="00BE5817"/>
    <w:rsid w:val="00BE59F4"/>
    <w:rsid w:val="00BF3343"/>
    <w:rsid w:val="00BF4A94"/>
    <w:rsid w:val="00C0150C"/>
    <w:rsid w:val="00C10D34"/>
    <w:rsid w:val="00C11C17"/>
    <w:rsid w:val="00C17A3F"/>
    <w:rsid w:val="00C20666"/>
    <w:rsid w:val="00C217AC"/>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407"/>
    <w:rsid w:val="00D27F71"/>
    <w:rsid w:val="00D44FAA"/>
    <w:rsid w:val="00D511A9"/>
    <w:rsid w:val="00D630A7"/>
    <w:rsid w:val="00D706B7"/>
    <w:rsid w:val="00D72C3F"/>
    <w:rsid w:val="00D76921"/>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37E51"/>
    <w:rsid w:val="00E4229A"/>
    <w:rsid w:val="00E454E9"/>
    <w:rsid w:val="00E503F2"/>
    <w:rsid w:val="00E531F7"/>
    <w:rsid w:val="00E54B8F"/>
    <w:rsid w:val="00E54FA7"/>
    <w:rsid w:val="00E562D1"/>
    <w:rsid w:val="00E66F77"/>
    <w:rsid w:val="00E674A9"/>
    <w:rsid w:val="00E7276E"/>
    <w:rsid w:val="00E91776"/>
    <w:rsid w:val="00E932FA"/>
    <w:rsid w:val="00E94433"/>
    <w:rsid w:val="00EA1E03"/>
    <w:rsid w:val="00EA5A88"/>
    <w:rsid w:val="00EA7937"/>
    <w:rsid w:val="00EB0AF3"/>
    <w:rsid w:val="00EB22FB"/>
    <w:rsid w:val="00EB402B"/>
    <w:rsid w:val="00EB7C6B"/>
    <w:rsid w:val="00EC1798"/>
    <w:rsid w:val="00EC2FED"/>
    <w:rsid w:val="00EC5FDD"/>
    <w:rsid w:val="00ED2850"/>
    <w:rsid w:val="00ED6B2E"/>
    <w:rsid w:val="00EE03BF"/>
    <w:rsid w:val="00EE18A2"/>
    <w:rsid w:val="00EE2E94"/>
    <w:rsid w:val="00EE2FFD"/>
    <w:rsid w:val="00EF1ACB"/>
    <w:rsid w:val="00EF318F"/>
    <w:rsid w:val="00EF397F"/>
    <w:rsid w:val="00EF59D9"/>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 w:id="108229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17</cp:revision>
  <cp:lastPrinted>2005-02-28T19:50:00Z</cp:lastPrinted>
  <dcterms:created xsi:type="dcterms:W3CDTF">2021-10-01T17:11:00Z</dcterms:created>
  <dcterms:modified xsi:type="dcterms:W3CDTF">2022-09-09T15:36:00Z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